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righ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  <w:r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  <w:t xml:space="preserve">Tarih: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</w:t>
      </w: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  <w:t xml:space="preserve">Say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</w:t>
      </w: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  <w:t xml:space="preserve">Konu:</w:t>
      </w:r>
      <w:r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  <w:t xml:space="preserve"> Online Web Sitesi Eri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im Bilgileri Talebi;</w:t>
      </w:r>
    </w:p>
    <w:p>
      <w:pPr>
        <w:tabs>
          <w:tab w:val="left" w:pos="8145" w:leader="none"/>
        </w:tabs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  <w:r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  <w:t xml:space="preserve">ÇORUM GAZ GENEL MÜDÜRLÜ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Humanst521 BT" w:hAnsi="Humanst521 BT" w:cs="Humanst521 BT" w:eastAsia="Humanst521 BT"/>
          <w:b/>
          <w:color w:val="auto"/>
          <w:spacing w:val="0"/>
          <w:position w:val="0"/>
          <w:sz w:val="24"/>
          <w:shd w:fill="auto" w:val="clear"/>
        </w:rPr>
        <w:t xml:space="preserve">Ü’ 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 Sayfan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ızdaki Online İşlemleri Kullanabilmek adına Aşağıda Abone Numaralarını yazdığımız tesisatlar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11111111111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TC Numaral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"Ad Soyad"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Adlı personelimizi ve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555555555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Numaralı Telefon hattını da SMS Doğrulama amacı ile yetkilendirmiş bulunmaktayız. Kurumunuz Tarafından Erişim Kodu ve Giriş bilgilerinin tarafımıza iletilmesini arz ederiz.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Abone Numaralar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xxxxxx-XX,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xxxxxx-XX,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umanst521 BT" w:hAnsi="Humanst521 BT" w:cs="Humanst521 BT" w:eastAsia="Humanst521 B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